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580" w:rsidRPr="005B00C6" w:rsidRDefault="00DE5DBD" w:rsidP="005C0580">
      <w:pPr>
        <w:jc w:val="center"/>
        <w:rPr>
          <w:b/>
          <w:u w:val="single"/>
        </w:rPr>
      </w:pPr>
      <w:r w:rsidRPr="005B00C6">
        <w:rPr>
          <w:b/>
          <w:u w:val="single"/>
        </w:rPr>
        <w:t>Section C: Sustainability Appraisal</w:t>
      </w:r>
      <w:r w:rsidR="005C0580" w:rsidRPr="005B00C6">
        <w:rPr>
          <w:b/>
          <w:u w:val="single"/>
        </w:rPr>
        <w:t xml:space="preserve"> Process Description</w:t>
      </w:r>
    </w:p>
    <w:p w:rsidR="005C0580" w:rsidRPr="005B00C6" w:rsidRDefault="005C0580" w:rsidP="005C0580">
      <w:pPr>
        <w:jc w:val="center"/>
        <w:rPr>
          <w:b/>
          <w:u w:val="single"/>
        </w:rPr>
      </w:pPr>
      <w:r w:rsidRPr="005B00C6">
        <w:rPr>
          <w:b/>
          <w:u w:val="single"/>
        </w:rPr>
        <w:t>Selected Policies in the Craven Local Plan</w:t>
      </w:r>
    </w:p>
    <w:p w:rsidR="005C0580" w:rsidRDefault="005C0580" w:rsidP="00E83ACD">
      <w:pPr>
        <w:jc w:val="both"/>
      </w:pPr>
    </w:p>
    <w:p w:rsidR="00E17DE2" w:rsidRPr="005B00C6" w:rsidRDefault="008535A8" w:rsidP="005B00C6">
      <w:pPr>
        <w:pStyle w:val="ListParagraph"/>
        <w:numPr>
          <w:ilvl w:val="0"/>
          <w:numId w:val="1"/>
        </w:numPr>
        <w:ind w:left="284" w:hanging="284"/>
      </w:pPr>
      <w:r w:rsidRPr="005B00C6">
        <w:t>There are a total of 45 policies in the Craven Local Plan (2012 – 2032). This number of policies is divided into five categories, and each individual policy is placed in one such category based on the theme of each policy. The five categories</w:t>
      </w:r>
      <w:r w:rsidR="00E83ACD" w:rsidRPr="005B00C6">
        <w:t>, including their respective descriptions,</w:t>
      </w:r>
      <w:r w:rsidRPr="005B00C6">
        <w:t xml:space="preserve"> are </w:t>
      </w:r>
      <w:r w:rsidR="004A7B24" w:rsidRPr="005B00C6">
        <w:t>listed below.</w:t>
      </w:r>
    </w:p>
    <w:p w:rsidR="004A7B24" w:rsidRPr="005B00C6" w:rsidRDefault="004A7B24" w:rsidP="005B00C6">
      <w:pPr>
        <w:pStyle w:val="ListParagraph"/>
      </w:pPr>
    </w:p>
    <w:p w:rsidR="008535A8" w:rsidRPr="005B00C6" w:rsidRDefault="008535A8" w:rsidP="005B00C6">
      <w:pPr>
        <w:pStyle w:val="ListParagraph"/>
        <w:numPr>
          <w:ilvl w:val="0"/>
          <w:numId w:val="2"/>
        </w:numPr>
        <w:ind w:left="567" w:hanging="283"/>
        <w:rPr>
          <w:b/>
        </w:rPr>
      </w:pPr>
      <w:r w:rsidRPr="005B00C6">
        <w:rPr>
          <w:b/>
        </w:rPr>
        <w:t>Sustainable Development, Strategic &amp; Spatial Strategy (14 Policies)</w:t>
      </w:r>
    </w:p>
    <w:p w:rsidR="004A7B24" w:rsidRPr="005B00C6" w:rsidRDefault="004A7B24" w:rsidP="005B00C6">
      <w:pPr>
        <w:pStyle w:val="ListParagraph"/>
      </w:pPr>
    </w:p>
    <w:p w:rsidR="004A7B24" w:rsidRPr="005B00C6" w:rsidRDefault="00E83ACD" w:rsidP="005B00C6">
      <w:pPr>
        <w:pStyle w:val="ListParagraph"/>
        <w:numPr>
          <w:ilvl w:val="0"/>
          <w:numId w:val="1"/>
        </w:numPr>
        <w:ind w:left="284" w:hanging="284"/>
      </w:pPr>
      <w:r w:rsidRPr="005B00C6">
        <w:t>The principal aim of the local plan is to promote sustainable development in Craven</w:t>
      </w:r>
      <w:r w:rsidR="00DB3C3E" w:rsidRPr="005B00C6">
        <w:t>. The purpose of the two policies SD1 and SD2 is to embrace three key planning principles – namely, the presumption in favour of sustainable development (NPPF), the statutory requirement for decision making in Section 38(6) of the Planning and Compulsory Purchase Act 2004, an</w:t>
      </w:r>
      <w:r w:rsidR="00CD0F1D" w:rsidRPr="005B00C6">
        <w:t>d the statutory requirement of S</w:t>
      </w:r>
      <w:r w:rsidR="00DB3C3E" w:rsidRPr="005B00C6">
        <w:t>ection 19 (1A) of the Planning and Compulsory Purchase Act 2004 in relation to climate change.</w:t>
      </w:r>
    </w:p>
    <w:p w:rsidR="004A7B24" w:rsidRPr="005B00C6" w:rsidRDefault="004A7B24" w:rsidP="005B00C6">
      <w:pPr>
        <w:pStyle w:val="ListParagraph"/>
      </w:pPr>
    </w:p>
    <w:p w:rsidR="004A7B24" w:rsidRPr="005B00C6" w:rsidRDefault="00DB3C3E" w:rsidP="005B00C6">
      <w:pPr>
        <w:pStyle w:val="ListParagraph"/>
        <w:numPr>
          <w:ilvl w:val="0"/>
          <w:numId w:val="1"/>
        </w:numPr>
        <w:ind w:left="284" w:hanging="284"/>
      </w:pPr>
      <w:r w:rsidRPr="005B00C6">
        <w:t xml:space="preserve">Further policies in this section address the requirement to meet the housing needs of Craven, the requirement to grow and diversify the local economy, and to ensure the appropriate mix and density of homes. </w:t>
      </w:r>
      <w:r w:rsidR="00CD0F1D" w:rsidRPr="005B00C6">
        <w:t xml:space="preserve">Policies SP5 to SP11 refer to individual allocations for residential and employment in settlements. </w:t>
      </w:r>
      <w:r w:rsidRPr="005B00C6">
        <w:t xml:space="preserve">The remaining policies focus on </w:t>
      </w:r>
      <w:r w:rsidR="006F5C24" w:rsidRPr="005B00C6">
        <w:t xml:space="preserve">directing a sustainable pattern of growth to deliver the spatial strategy of the plan over the local plan period 2012 to 2032, in terms of the strategies for individual settlements throughout the local plan area. </w:t>
      </w:r>
    </w:p>
    <w:p w:rsidR="004A7B24" w:rsidRPr="005B00C6" w:rsidRDefault="004A7B24" w:rsidP="005B00C6">
      <w:pPr>
        <w:pStyle w:val="ListParagraph"/>
      </w:pPr>
    </w:p>
    <w:p w:rsidR="008535A8" w:rsidRPr="005B00C6" w:rsidRDefault="008535A8" w:rsidP="005B00C6">
      <w:pPr>
        <w:pStyle w:val="ListParagraph"/>
        <w:numPr>
          <w:ilvl w:val="0"/>
          <w:numId w:val="2"/>
        </w:numPr>
        <w:ind w:left="567" w:hanging="283"/>
        <w:rPr>
          <w:b/>
        </w:rPr>
      </w:pPr>
      <w:r w:rsidRPr="005B00C6">
        <w:rPr>
          <w:b/>
        </w:rPr>
        <w:t>Environment (13 Policies)</w:t>
      </w:r>
    </w:p>
    <w:p w:rsidR="004A7B24" w:rsidRPr="005B00C6" w:rsidRDefault="004A7B24" w:rsidP="005B00C6">
      <w:pPr>
        <w:pStyle w:val="ListParagraph"/>
      </w:pPr>
    </w:p>
    <w:p w:rsidR="00E83ACD" w:rsidRPr="005B00C6" w:rsidRDefault="00273A75" w:rsidP="005B00C6">
      <w:pPr>
        <w:pStyle w:val="ListParagraph"/>
        <w:numPr>
          <w:ilvl w:val="0"/>
          <w:numId w:val="1"/>
        </w:numPr>
        <w:ind w:left="284" w:hanging="284"/>
      </w:pPr>
      <w:r w:rsidRPr="005B00C6">
        <w:t xml:space="preserve">The natural and built environment is the local plan area’s defining feature. People’s appreciation and enjoyment of Craven, and the area’s vitality and success </w:t>
      </w:r>
      <w:r w:rsidR="00CD0F1D" w:rsidRPr="005B00C6">
        <w:t xml:space="preserve">is </w:t>
      </w:r>
      <w:r w:rsidRPr="005B00C6">
        <w:t>heavily depend</w:t>
      </w:r>
      <w:r w:rsidR="00630DF0" w:rsidRPr="005B00C6">
        <w:t>ent</w:t>
      </w:r>
      <w:r w:rsidRPr="005B00C6">
        <w:t xml:space="preserve"> on its countryside and landscape. Local landscapes in Craven have been influenced and defined by natural and human activity, including a long tradition of farming and small scale urban development. The local plan area is surrounded by numerous areas of important natural significance, namely the European designations of Special Protection Areas and Special Areas of Conservation, in addition to </w:t>
      </w:r>
      <w:proofErr w:type="spellStart"/>
      <w:r w:rsidRPr="005B00C6">
        <w:t>Ramsar</w:t>
      </w:r>
      <w:proofErr w:type="spellEnd"/>
      <w:r w:rsidRPr="005B00C6">
        <w:t xml:space="preserve"> sites to the north of the local plan area. In aiming to conserve and improve the built environment, the policies here address heritage and good design, in addition to key environmental and socio-economic priorities such as biodiversity, green infrastructure, water, soil and air.</w:t>
      </w:r>
    </w:p>
    <w:p w:rsidR="004A7B24" w:rsidRPr="005B00C6" w:rsidRDefault="004A7B24" w:rsidP="005B00C6">
      <w:pPr>
        <w:pStyle w:val="ListParagraph"/>
      </w:pPr>
    </w:p>
    <w:p w:rsidR="008535A8" w:rsidRPr="005B00C6" w:rsidRDefault="008535A8" w:rsidP="005B00C6">
      <w:pPr>
        <w:pStyle w:val="ListParagraph"/>
        <w:numPr>
          <w:ilvl w:val="0"/>
          <w:numId w:val="2"/>
        </w:numPr>
        <w:ind w:left="567" w:hanging="283"/>
        <w:rPr>
          <w:b/>
        </w:rPr>
      </w:pPr>
      <w:r w:rsidRPr="005B00C6">
        <w:rPr>
          <w:b/>
        </w:rPr>
        <w:t>Housing (3 Policies)</w:t>
      </w:r>
    </w:p>
    <w:p w:rsidR="004A7B24" w:rsidRPr="005B00C6" w:rsidRDefault="004A7B24" w:rsidP="005B00C6">
      <w:pPr>
        <w:pStyle w:val="ListParagraph"/>
      </w:pPr>
    </w:p>
    <w:p w:rsidR="00CB1175" w:rsidRPr="005B00C6" w:rsidRDefault="007B62DE" w:rsidP="005B00C6">
      <w:pPr>
        <w:pStyle w:val="ListParagraph"/>
        <w:numPr>
          <w:ilvl w:val="0"/>
          <w:numId w:val="1"/>
        </w:numPr>
        <w:spacing w:after="0"/>
        <w:ind w:left="284" w:hanging="284"/>
        <w:rPr>
          <w:rFonts w:eastAsia="Times New Roman" w:cstheme="minorHAnsi"/>
          <w:color w:val="000000"/>
          <w:lang w:eastAsia="en-GB"/>
        </w:rPr>
      </w:pPr>
      <w:r w:rsidRPr="005B00C6">
        <w:rPr>
          <w:rFonts w:eastAsia="Times New Roman" w:cstheme="minorHAnsi"/>
          <w:color w:val="000000"/>
          <w:lang w:eastAsia="en-GB"/>
        </w:rPr>
        <w:t xml:space="preserve">The Strategic Housing Market Assessment Update, November 2017 (SHMA) </w:t>
      </w:r>
      <w:r w:rsidR="00625205" w:rsidRPr="005B00C6">
        <w:rPr>
          <w:rFonts w:eastAsia="Times New Roman" w:cstheme="minorHAnsi"/>
          <w:color w:val="000000"/>
          <w:lang w:eastAsia="en-GB"/>
        </w:rPr>
        <w:t xml:space="preserve">includes information on the likely scale of increased demand for older person’s specialist provision, and suggests that there is a need to double the current level of provision for older people, particularly the provision of enhanced sheltered and extra care provision. </w:t>
      </w:r>
      <w:r w:rsidRPr="005B00C6">
        <w:rPr>
          <w:rFonts w:eastAsia="Times New Roman" w:cstheme="minorHAnsi"/>
          <w:color w:val="000000"/>
          <w:lang w:eastAsia="en-GB"/>
        </w:rPr>
        <w:t xml:space="preserve">Craven </w:t>
      </w:r>
      <w:r w:rsidR="00625205" w:rsidRPr="005B00C6">
        <w:rPr>
          <w:rFonts w:eastAsia="Times New Roman" w:cstheme="minorHAnsi"/>
          <w:color w:val="000000"/>
          <w:lang w:eastAsia="en-GB"/>
        </w:rPr>
        <w:t xml:space="preserve">also </w:t>
      </w:r>
      <w:r w:rsidRPr="005B00C6">
        <w:rPr>
          <w:rFonts w:eastAsia="Times New Roman" w:cstheme="minorHAnsi"/>
          <w:color w:val="000000"/>
          <w:lang w:eastAsia="en-GB"/>
        </w:rPr>
        <w:t xml:space="preserve">has a significant requirement for </w:t>
      </w:r>
      <w:r w:rsidRPr="005B00C6">
        <w:rPr>
          <w:rFonts w:eastAsia="Times New Roman" w:cstheme="minorHAnsi"/>
          <w:color w:val="000000"/>
          <w:lang w:eastAsia="en-GB"/>
        </w:rPr>
        <w:lastRenderedPageBreak/>
        <w:t xml:space="preserve">affordable housing, largely as a result of a mismatch between local incomes and the cost of renting or buying homes. </w:t>
      </w:r>
      <w:r w:rsidR="00625205" w:rsidRPr="005B00C6">
        <w:rPr>
          <w:rFonts w:eastAsia="Times New Roman" w:cstheme="minorHAnsi"/>
          <w:color w:val="000000"/>
          <w:lang w:eastAsia="en-GB"/>
        </w:rPr>
        <w:t xml:space="preserve">The local plan will contribute to the overarching national aim of ensuring fair and equal treatment for travellers, in a way that facilitates their traditional way of life, whilst respecting the interests of settled communities. </w:t>
      </w:r>
      <w:r w:rsidR="00CB1175" w:rsidRPr="005B00C6">
        <w:rPr>
          <w:rFonts w:eastAsia="Times New Roman" w:cstheme="minorHAnsi"/>
          <w:color w:val="000000"/>
          <w:lang w:eastAsia="en-GB"/>
        </w:rPr>
        <w:t>The specific policies look at providing specialist housing for older people across all tenures in sustainable locations, providing a percentage of local affordable homes in new housing developments, and meeting the housing requirements of Gypsies, Travellers, Showmen and Roma.</w:t>
      </w:r>
    </w:p>
    <w:p w:rsidR="00CB1175" w:rsidRPr="005B00C6" w:rsidRDefault="00CB1175" w:rsidP="005B00C6">
      <w:pPr>
        <w:spacing w:after="0" w:line="240" w:lineRule="auto"/>
        <w:rPr>
          <w:rFonts w:ascii="Arial" w:eastAsia="Times New Roman" w:hAnsi="Arial" w:cs="Arial"/>
          <w:color w:val="000000"/>
          <w:lang w:eastAsia="en-GB"/>
        </w:rPr>
      </w:pPr>
    </w:p>
    <w:p w:rsidR="00E83ACD" w:rsidRPr="005B00C6" w:rsidRDefault="008535A8" w:rsidP="005B00C6">
      <w:pPr>
        <w:pStyle w:val="ListParagraph"/>
        <w:numPr>
          <w:ilvl w:val="0"/>
          <w:numId w:val="2"/>
        </w:numPr>
        <w:ind w:left="567" w:hanging="283"/>
        <w:rPr>
          <w:b/>
        </w:rPr>
      </w:pPr>
      <w:r w:rsidRPr="005B00C6">
        <w:rPr>
          <w:b/>
        </w:rPr>
        <w:t>Economy (8 Policies)</w:t>
      </w:r>
    </w:p>
    <w:p w:rsidR="004A7B24" w:rsidRPr="005B00C6" w:rsidRDefault="004A7B24" w:rsidP="005B00C6">
      <w:pPr>
        <w:pStyle w:val="ListParagraph"/>
      </w:pPr>
    </w:p>
    <w:p w:rsidR="009D614C" w:rsidRPr="005B00C6" w:rsidRDefault="00625205" w:rsidP="005B00C6">
      <w:pPr>
        <w:pStyle w:val="ListParagraph"/>
        <w:numPr>
          <w:ilvl w:val="0"/>
          <w:numId w:val="1"/>
        </w:numPr>
        <w:ind w:left="284" w:hanging="284"/>
      </w:pPr>
      <w:r w:rsidRPr="005B00C6">
        <w:t xml:space="preserve">The NPPF states that planning policy should </w:t>
      </w:r>
      <w:r w:rsidR="00CD0F1D" w:rsidRPr="005B00C6">
        <w:t>encourage</w:t>
      </w:r>
      <w:r w:rsidRPr="005B00C6">
        <w:t xml:space="preserve"> </w:t>
      </w:r>
      <w:r w:rsidR="00CC2F56" w:rsidRPr="005B00C6">
        <w:t xml:space="preserve">and promote </w:t>
      </w:r>
      <w:r w:rsidRPr="005B00C6">
        <w:t>economic development and employment uses</w:t>
      </w:r>
      <w:r w:rsidR="00CD0F1D" w:rsidRPr="005B00C6">
        <w:t xml:space="preserve"> where required</w:t>
      </w:r>
      <w:r w:rsidRPr="005B00C6">
        <w:t xml:space="preserve">. The Employment Land Review (March 2017) provides further context for the local plan area. It shows that in Craven there is a high level of economic activity, and low levels of unemployment and deprivation. However, the study also shows that wages are below the national average, and that Craven is a net exporter of labour. Providing a policy context that safeguards, supports and enhances economic activity is an important part of the local plan. </w:t>
      </w:r>
      <w:r w:rsidR="009D614C" w:rsidRPr="005B00C6">
        <w:t xml:space="preserve">The individual policies look at supporting economic development and new employment land subject to criteria being met, and also safeguarding existing employment areas. There are policies which focus on town, district and local centres, in addition to the rural economy. There is a particular focus on supporting and promoting tourism, with particular policies focusing on the settlements of Bolton Abbey and </w:t>
      </w:r>
      <w:proofErr w:type="spellStart"/>
      <w:r w:rsidR="009D614C" w:rsidRPr="005B00C6">
        <w:t>Hellifield</w:t>
      </w:r>
      <w:proofErr w:type="spellEnd"/>
      <w:r w:rsidR="009D614C" w:rsidRPr="005B00C6">
        <w:t xml:space="preserve">. </w:t>
      </w:r>
    </w:p>
    <w:p w:rsidR="004A7B24" w:rsidRPr="005B00C6" w:rsidRDefault="004A7B24" w:rsidP="005B00C6">
      <w:pPr>
        <w:pStyle w:val="ListParagraph"/>
      </w:pPr>
    </w:p>
    <w:p w:rsidR="008535A8" w:rsidRPr="005B00C6" w:rsidRDefault="008535A8" w:rsidP="005B00C6">
      <w:pPr>
        <w:pStyle w:val="ListParagraph"/>
        <w:numPr>
          <w:ilvl w:val="0"/>
          <w:numId w:val="2"/>
        </w:numPr>
        <w:ind w:left="567" w:hanging="283"/>
        <w:rPr>
          <w:b/>
        </w:rPr>
      </w:pPr>
      <w:r w:rsidRPr="005B00C6">
        <w:rPr>
          <w:b/>
        </w:rPr>
        <w:t>Infrastructure, Services &amp; Facilities (7 Policies)</w:t>
      </w:r>
    </w:p>
    <w:p w:rsidR="004A7B24" w:rsidRPr="005B00C6" w:rsidRDefault="004A7B24" w:rsidP="005B00C6">
      <w:pPr>
        <w:pStyle w:val="ListParagraph"/>
      </w:pPr>
    </w:p>
    <w:p w:rsidR="008535A8" w:rsidRDefault="00625205" w:rsidP="005B00C6">
      <w:pPr>
        <w:pStyle w:val="ListParagraph"/>
        <w:numPr>
          <w:ilvl w:val="0"/>
          <w:numId w:val="1"/>
        </w:numPr>
        <w:ind w:left="284" w:hanging="284"/>
      </w:pPr>
      <w:r w:rsidRPr="005B00C6">
        <w:t xml:space="preserve">The Council is required to assess the level of infrastructure required to support the development set out in the local plan. </w:t>
      </w:r>
      <w:r w:rsidR="008258C5" w:rsidRPr="005B00C6">
        <w:t>The Council engages with infrastructure delivery bodies and relevant stakeholders to determine infrastructure requirements, assessing infrastructure requirements from site allocations and assessing the level of growth cumulatively. Planning obligations or “section 106 ag</w:t>
      </w:r>
      <w:r w:rsidR="00CD0F1D" w:rsidRPr="005B00C6">
        <w:t>reements” may be entered into with</w:t>
      </w:r>
      <w:r w:rsidR="008258C5" w:rsidRPr="005B00C6">
        <w:t xml:space="preserve"> developers as part of the development process. They are sometimes required to ensure that places and communities grow in a sustainable way to and assist to deliver the objectives, aspirations and strategy of the local plan. </w:t>
      </w:r>
      <w:r w:rsidR="009D614C" w:rsidRPr="005B00C6">
        <w:t>The individual policies focus on key services and infrastructure such as community facilities, transport, recreational facilities, parking, communications infrastructure, and education.</w:t>
      </w:r>
    </w:p>
    <w:p w:rsidR="005B00C6" w:rsidRPr="005B00C6" w:rsidRDefault="005B00C6" w:rsidP="005B00C6">
      <w:pPr>
        <w:pStyle w:val="ListParagraph"/>
        <w:ind w:left="284"/>
      </w:pPr>
      <w:bookmarkStart w:id="0" w:name="_GoBack"/>
      <w:bookmarkEnd w:id="0"/>
    </w:p>
    <w:p w:rsidR="008258C5" w:rsidRPr="005B00C6" w:rsidRDefault="008258C5" w:rsidP="005B00C6">
      <w:pPr>
        <w:pStyle w:val="ListParagraph"/>
        <w:numPr>
          <w:ilvl w:val="0"/>
          <w:numId w:val="1"/>
        </w:numPr>
        <w:ind w:left="284" w:hanging="284"/>
      </w:pPr>
      <w:r w:rsidRPr="005B00C6">
        <w:t xml:space="preserve">The Sustainability Appraisal examines these policies in terms of the 20 sustainability objectives, and also in terms of short term and long term effects (timescale) and the likely positive or negative effects in terms of urban, rural and transboundary. There are some sustainability objectives where the policy is unlikely to have any real influence. There may be cases where a policy scores some minor negatives in terms of some sustainability objectives. For example, an economically focused policy may have some minor negative effects on environmentally focussed sustainability objectives. It is generally important to ensure that these effects are not deemed to be in the </w:t>
      </w:r>
      <w:r w:rsidR="00753368" w:rsidRPr="005B00C6">
        <w:t xml:space="preserve">“double negative” category in terms of the scoring system. Overall, a suitable and efficient policy should have a broadly positive score over the entire list of sustainability objectives. </w:t>
      </w:r>
    </w:p>
    <w:sectPr w:rsidR="008258C5" w:rsidRPr="005B00C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AE9" w:rsidRDefault="005A5AE9" w:rsidP="005C0580">
      <w:pPr>
        <w:spacing w:after="0" w:line="240" w:lineRule="auto"/>
      </w:pPr>
      <w:r>
        <w:separator/>
      </w:r>
    </w:p>
  </w:endnote>
  <w:endnote w:type="continuationSeparator" w:id="0">
    <w:p w:rsidR="005A5AE9" w:rsidRDefault="005A5AE9" w:rsidP="005C0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214935"/>
      <w:docPartObj>
        <w:docPartGallery w:val="Page Numbers (Bottom of Page)"/>
        <w:docPartUnique/>
      </w:docPartObj>
    </w:sdtPr>
    <w:sdtEndPr>
      <w:rPr>
        <w:noProof/>
      </w:rPr>
    </w:sdtEndPr>
    <w:sdtContent>
      <w:p w:rsidR="005C0580" w:rsidRDefault="005C0580">
        <w:pPr>
          <w:pStyle w:val="Footer"/>
          <w:jc w:val="center"/>
        </w:pPr>
        <w:r>
          <w:fldChar w:fldCharType="begin"/>
        </w:r>
        <w:r>
          <w:instrText xml:space="preserve"> PAGE   \* MERGEFORMAT </w:instrText>
        </w:r>
        <w:r>
          <w:fldChar w:fldCharType="separate"/>
        </w:r>
        <w:r w:rsidR="005B00C6">
          <w:rPr>
            <w:noProof/>
          </w:rPr>
          <w:t>2</w:t>
        </w:r>
        <w:r>
          <w:rPr>
            <w:noProof/>
          </w:rPr>
          <w:fldChar w:fldCharType="end"/>
        </w:r>
      </w:p>
    </w:sdtContent>
  </w:sdt>
  <w:p w:rsidR="005C0580" w:rsidRDefault="005C05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AE9" w:rsidRDefault="005A5AE9" w:rsidP="005C0580">
      <w:pPr>
        <w:spacing w:after="0" w:line="240" w:lineRule="auto"/>
      </w:pPr>
      <w:r>
        <w:separator/>
      </w:r>
    </w:p>
  </w:footnote>
  <w:footnote w:type="continuationSeparator" w:id="0">
    <w:p w:rsidR="005A5AE9" w:rsidRDefault="005A5AE9" w:rsidP="005C05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94E57"/>
    <w:multiLevelType w:val="hybridMultilevel"/>
    <w:tmpl w:val="0B783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7FA4F85"/>
    <w:multiLevelType w:val="hybridMultilevel"/>
    <w:tmpl w:val="4D1CAAA4"/>
    <w:lvl w:ilvl="0" w:tplc="088E8AA4">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34A"/>
    <w:rsid w:val="00273A75"/>
    <w:rsid w:val="004A7B24"/>
    <w:rsid w:val="004E734A"/>
    <w:rsid w:val="005A5AE9"/>
    <w:rsid w:val="005B00C6"/>
    <w:rsid w:val="005C0580"/>
    <w:rsid w:val="00625205"/>
    <w:rsid w:val="00630DF0"/>
    <w:rsid w:val="006F5C24"/>
    <w:rsid w:val="0073432C"/>
    <w:rsid w:val="00753368"/>
    <w:rsid w:val="007B62DE"/>
    <w:rsid w:val="008258C5"/>
    <w:rsid w:val="008535A8"/>
    <w:rsid w:val="009D614C"/>
    <w:rsid w:val="00CB1175"/>
    <w:rsid w:val="00CC2F56"/>
    <w:rsid w:val="00CD0F1D"/>
    <w:rsid w:val="00DB3C3E"/>
    <w:rsid w:val="00DE5DBD"/>
    <w:rsid w:val="00E17DE2"/>
    <w:rsid w:val="00E83A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35A8"/>
    <w:pPr>
      <w:ind w:left="720"/>
      <w:contextualSpacing/>
    </w:pPr>
  </w:style>
  <w:style w:type="paragraph" w:styleId="Header">
    <w:name w:val="header"/>
    <w:basedOn w:val="Normal"/>
    <w:link w:val="HeaderChar"/>
    <w:uiPriority w:val="99"/>
    <w:unhideWhenUsed/>
    <w:rsid w:val="005C05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0580"/>
  </w:style>
  <w:style w:type="paragraph" w:styleId="Footer">
    <w:name w:val="footer"/>
    <w:basedOn w:val="Normal"/>
    <w:link w:val="FooterChar"/>
    <w:uiPriority w:val="99"/>
    <w:unhideWhenUsed/>
    <w:rsid w:val="005C05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0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35A8"/>
    <w:pPr>
      <w:ind w:left="720"/>
      <w:contextualSpacing/>
    </w:pPr>
  </w:style>
  <w:style w:type="paragraph" w:styleId="Header">
    <w:name w:val="header"/>
    <w:basedOn w:val="Normal"/>
    <w:link w:val="HeaderChar"/>
    <w:uiPriority w:val="99"/>
    <w:unhideWhenUsed/>
    <w:rsid w:val="005C05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0580"/>
  </w:style>
  <w:style w:type="paragraph" w:styleId="Footer">
    <w:name w:val="footer"/>
    <w:basedOn w:val="Normal"/>
    <w:link w:val="FooterChar"/>
    <w:uiPriority w:val="99"/>
    <w:unhideWhenUsed/>
    <w:rsid w:val="005C05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0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123523">
      <w:bodyDiv w:val="1"/>
      <w:marLeft w:val="0"/>
      <w:marRight w:val="0"/>
      <w:marTop w:val="0"/>
      <w:marBottom w:val="0"/>
      <w:divBdr>
        <w:top w:val="none" w:sz="0" w:space="0" w:color="auto"/>
        <w:left w:val="none" w:sz="0" w:space="0" w:color="auto"/>
        <w:bottom w:val="none" w:sz="0" w:space="0" w:color="auto"/>
        <w:right w:val="none" w:sz="0" w:space="0" w:color="auto"/>
      </w:divBdr>
    </w:div>
    <w:div w:id="751198328">
      <w:bodyDiv w:val="1"/>
      <w:marLeft w:val="0"/>
      <w:marRight w:val="0"/>
      <w:marTop w:val="0"/>
      <w:marBottom w:val="0"/>
      <w:divBdr>
        <w:top w:val="none" w:sz="0" w:space="0" w:color="auto"/>
        <w:left w:val="none" w:sz="0" w:space="0" w:color="auto"/>
        <w:bottom w:val="none" w:sz="0" w:space="0" w:color="auto"/>
        <w:right w:val="none" w:sz="0" w:space="0" w:color="auto"/>
      </w:divBdr>
    </w:div>
    <w:div w:id="189237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Feeney</dc:creator>
  <cp:keywords/>
  <dc:description/>
  <cp:lastModifiedBy>Sian Watson</cp:lastModifiedBy>
  <cp:revision>14</cp:revision>
  <dcterms:created xsi:type="dcterms:W3CDTF">2019-01-07T15:35:00Z</dcterms:created>
  <dcterms:modified xsi:type="dcterms:W3CDTF">2019-10-31T14:48:00Z</dcterms:modified>
</cp:coreProperties>
</file>